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8B4269" w:rsidTr="008B4269">
        <w:trPr>
          <w:tblCellSpacing w:w="0" w:type="dxa"/>
        </w:trPr>
        <w:tc>
          <w:tcPr>
            <w:tcW w:w="5000" w:type="pct"/>
            <w:vAlign w:val="center"/>
            <w:hideMark/>
          </w:tcPr>
          <w:p w:rsidR="008B4269" w:rsidRDefault="008B4269">
            <w:pPr>
              <w:pStyle w:val="NormalWeb"/>
              <w:jc w:val="center"/>
              <w:rPr>
                <w:lang w:eastAsia="en-US"/>
              </w:rPr>
            </w:pPr>
            <w:r>
              <w:rPr>
                <w:noProof/>
              </w:rPr>
              <w:drawing>
                <wp:inline distT="0" distB="0" distL="0" distR="0" wp14:anchorId="19554DC1" wp14:editId="7894A2DA">
                  <wp:extent cx="314325" cy="351304"/>
                  <wp:effectExtent l="0" t="0" r="0" b="0"/>
                  <wp:docPr id="1" name="Imagem 1" descr="http://prouni.mec.gov.br/prouni2006/Estrutura/Imagen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uni.mec.gov.br/prouni2006/Estrutura/Imagens/brasa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51304"/>
                          </a:xfrm>
                          <a:prstGeom prst="rect">
                            <a:avLst/>
                          </a:prstGeom>
                          <a:noFill/>
                          <a:ln>
                            <a:noFill/>
                          </a:ln>
                        </pic:spPr>
                      </pic:pic>
                    </a:graphicData>
                  </a:graphic>
                </wp:inline>
              </w:drawing>
            </w:r>
          </w:p>
        </w:tc>
      </w:tr>
      <w:tr w:rsidR="008B4269" w:rsidRPr="008B4269" w:rsidTr="008B4269">
        <w:trPr>
          <w:tblCellSpacing w:w="0" w:type="dxa"/>
        </w:trPr>
        <w:tc>
          <w:tcPr>
            <w:tcW w:w="5000" w:type="pct"/>
            <w:vAlign w:val="center"/>
            <w:hideMark/>
          </w:tcPr>
          <w:p w:rsidR="008B4269" w:rsidRPr="008B4269" w:rsidRDefault="008B4269" w:rsidP="008B4269">
            <w:pPr>
              <w:pStyle w:val="NormalWeb"/>
              <w:spacing w:after="240" w:afterAutospacing="0"/>
              <w:jc w:val="center"/>
              <w:rPr>
                <w:sz w:val="16"/>
                <w:szCs w:val="16"/>
                <w:lang w:eastAsia="en-US"/>
              </w:rPr>
            </w:pPr>
            <w:r w:rsidRPr="008B4269">
              <w:rPr>
                <w:b/>
                <w:bCs/>
                <w:sz w:val="16"/>
                <w:szCs w:val="16"/>
                <w:lang w:eastAsia="en-US"/>
              </w:rPr>
              <w:t>MINISTÉRIO DA EDUCAÇÃO</w:t>
            </w:r>
            <w:r w:rsidRPr="008B4269">
              <w:rPr>
                <w:b/>
                <w:bCs/>
                <w:sz w:val="16"/>
                <w:szCs w:val="16"/>
                <w:lang w:eastAsia="en-US"/>
              </w:rPr>
              <w:br/>
              <w:t>SECRETARIA DE EDUCAÇÃO SUPERIOR</w:t>
            </w:r>
            <w:r w:rsidRPr="008B4269">
              <w:rPr>
                <w:b/>
                <w:bCs/>
                <w:sz w:val="16"/>
                <w:szCs w:val="16"/>
                <w:lang w:eastAsia="en-US"/>
              </w:rPr>
              <w:br/>
              <w:t>Diretoria de Políticas e Programas de Graduação da Educação Superior</w:t>
            </w:r>
            <w:r w:rsidRPr="008B4269">
              <w:rPr>
                <w:b/>
                <w:bCs/>
                <w:sz w:val="16"/>
                <w:szCs w:val="16"/>
                <w:lang w:eastAsia="en-US"/>
              </w:rPr>
              <w:br/>
              <w:t xml:space="preserve">E-mail: </w:t>
            </w:r>
            <w:hyperlink r:id="rId6" w:history="1">
              <w:r w:rsidRPr="008B4269">
                <w:rPr>
                  <w:rStyle w:val="Hyperlink"/>
                  <w:b/>
                  <w:bCs/>
                  <w:sz w:val="16"/>
                  <w:szCs w:val="16"/>
                  <w:lang w:eastAsia="en-US"/>
                </w:rPr>
                <w:t>iesprouni@mec.gov.br</w:t>
              </w:r>
            </w:hyperlink>
          </w:p>
        </w:tc>
      </w:tr>
      <w:tr w:rsidR="008B4269" w:rsidRPr="008B4269" w:rsidTr="008B4269">
        <w:trPr>
          <w:tblCellSpacing w:w="0" w:type="dxa"/>
        </w:trPr>
        <w:tc>
          <w:tcPr>
            <w:tcW w:w="5000" w:type="pct"/>
            <w:vAlign w:val="center"/>
            <w:hideMark/>
          </w:tcPr>
          <w:p w:rsidR="008B4269" w:rsidRPr="008B4269" w:rsidRDefault="008B4269">
            <w:pPr>
              <w:pStyle w:val="NormalWeb"/>
              <w:jc w:val="right"/>
              <w:rPr>
                <w:sz w:val="20"/>
                <w:szCs w:val="20"/>
                <w:lang w:eastAsia="en-US"/>
              </w:rPr>
            </w:pPr>
            <w:r w:rsidRPr="008B4269">
              <w:rPr>
                <w:sz w:val="20"/>
                <w:szCs w:val="20"/>
                <w:lang w:eastAsia="en-US"/>
              </w:rPr>
              <w:t xml:space="preserve">Brasília-DF, 19 de Março de </w:t>
            </w:r>
            <w:proofErr w:type="gramStart"/>
            <w:r w:rsidRPr="008B4269">
              <w:rPr>
                <w:sz w:val="20"/>
                <w:szCs w:val="20"/>
                <w:lang w:eastAsia="en-US"/>
              </w:rPr>
              <w:t>2013</w:t>
            </w:r>
            <w:proofErr w:type="gramEnd"/>
          </w:p>
        </w:tc>
      </w:tr>
      <w:tr w:rsidR="008B4269" w:rsidRPr="008B4269" w:rsidTr="008B4269">
        <w:trPr>
          <w:tblCellSpacing w:w="0" w:type="dxa"/>
        </w:trPr>
        <w:tc>
          <w:tcPr>
            <w:tcW w:w="5000" w:type="pct"/>
            <w:vAlign w:val="center"/>
          </w:tcPr>
          <w:p w:rsidR="008B4269" w:rsidRPr="008B4269" w:rsidRDefault="008B4269">
            <w:pPr>
              <w:shd w:val="clear" w:color="auto" w:fill="FFFFFF"/>
              <w:tabs>
                <w:tab w:val="left" w:pos="1418"/>
              </w:tabs>
              <w:rPr>
                <w:sz w:val="20"/>
                <w:szCs w:val="20"/>
                <w:lang w:eastAsia="en-US"/>
              </w:rPr>
            </w:pPr>
            <w:r w:rsidRPr="008B4269">
              <w:rPr>
                <w:bCs/>
                <w:sz w:val="20"/>
                <w:szCs w:val="20"/>
                <w:lang w:eastAsia="en-US"/>
              </w:rPr>
              <w:t>Assunto:</w:t>
            </w:r>
            <w:r w:rsidRPr="008B4269">
              <w:rPr>
                <w:b/>
                <w:bCs/>
                <w:sz w:val="20"/>
                <w:szCs w:val="20"/>
                <w:lang w:eastAsia="en-US"/>
              </w:rPr>
              <w:t xml:space="preserve"> Programa Universidade para Todos – Prouni. Preenchimento das bolsas remanescentes do processo seletivo referente ao primeiro semestre de 2013</w:t>
            </w:r>
          </w:p>
          <w:p w:rsidR="008B4269" w:rsidRPr="008B4269" w:rsidRDefault="008B4269" w:rsidP="008B4269">
            <w:pPr>
              <w:shd w:val="clear" w:color="auto" w:fill="FFFFFF"/>
              <w:tabs>
                <w:tab w:val="left" w:pos="1418"/>
              </w:tabs>
              <w:rPr>
                <w:b/>
                <w:bCs/>
                <w:sz w:val="20"/>
                <w:szCs w:val="20"/>
                <w:lang w:eastAsia="en-US"/>
              </w:rPr>
            </w:pPr>
            <w:r>
              <w:rPr>
                <w:sz w:val="20"/>
                <w:szCs w:val="20"/>
                <w:lang w:eastAsia="en-US"/>
              </w:rPr>
              <w:t xml:space="preserve">                            </w:t>
            </w:r>
            <w:proofErr w:type="spellStart"/>
            <w:proofErr w:type="gramStart"/>
            <w:r w:rsidRPr="008B4269">
              <w:rPr>
                <w:b/>
                <w:bCs/>
                <w:sz w:val="20"/>
                <w:szCs w:val="20"/>
                <w:lang w:eastAsia="en-US"/>
              </w:rPr>
              <w:t>Ilmo</w:t>
            </w:r>
            <w:proofErr w:type="spellEnd"/>
            <w:r w:rsidRPr="008B4269">
              <w:rPr>
                <w:b/>
                <w:bCs/>
                <w:sz w:val="20"/>
                <w:szCs w:val="20"/>
                <w:lang w:eastAsia="en-US"/>
              </w:rPr>
              <w:t>(</w:t>
            </w:r>
            <w:proofErr w:type="gramEnd"/>
            <w:r w:rsidRPr="008B4269">
              <w:rPr>
                <w:b/>
                <w:bCs/>
                <w:sz w:val="20"/>
                <w:szCs w:val="20"/>
                <w:lang w:eastAsia="en-US"/>
              </w:rPr>
              <w:t>a) Senhor(a),</w:t>
            </w:r>
            <w:bookmarkStart w:id="0" w:name="_GoBack"/>
            <w:bookmarkEnd w:id="0"/>
          </w:p>
          <w:p w:rsidR="008B4269" w:rsidRPr="008B4269" w:rsidRDefault="008B4269">
            <w:pPr>
              <w:shd w:val="clear" w:color="auto" w:fill="FFFFFF"/>
              <w:tabs>
                <w:tab w:val="left" w:pos="1418"/>
              </w:tabs>
              <w:rPr>
                <w:sz w:val="20"/>
                <w:szCs w:val="20"/>
                <w:lang w:eastAsia="en-US"/>
              </w:rPr>
            </w:pPr>
            <w:r w:rsidRPr="008B4269">
              <w:rPr>
                <w:sz w:val="20"/>
                <w:szCs w:val="20"/>
                <w:lang w:eastAsia="en-US"/>
              </w:rPr>
              <w:t> 1.</w:t>
            </w:r>
            <w:r w:rsidRPr="008B4269">
              <w:rPr>
                <w:sz w:val="20"/>
                <w:szCs w:val="20"/>
                <w:lang w:eastAsia="en-US"/>
              </w:rPr>
              <w:tab/>
            </w:r>
            <w:r w:rsidRPr="008B4269">
              <w:rPr>
                <w:bCs/>
                <w:sz w:val="20"/>
                <w:szCs w:val="20"/>
                <w:lang w:eastAsia="en-US"/>
              </w:rPr>
              <w:t xml:space="preserve">Informamos que foi publicada a Portaria </w:t>
            </w:r>
            <w:r w:rsidRPr="008B4269">
              <w:rPr>
                <w:sz w:val="20"/>
                <w:szCs w:val="20"/>
                <w:lang w:eastAsia="en-US"/>
              </w:rPr>
              <w:t>Normativa nº 4, de 14 de março de 2013</w:t>
            </w:r>
            <w:r w:rsidRPr="008B4269">
              <w:rPr>
                <w:bCs/>
                <w:sz w:val="20"/>
                <w:szCs w:val="20"/>
                <w:lang w:eastAsia="en-US"/>
              </w:rPr>
              <w:t>, que dispõe sobre a ocupação de bolsas remanescentes do processo seletivo do Programa Universidade para Todos - Prouni referente ao primeiro semestre de 2013.</w:t>
            </w:r>
          </w:p>
          <w:p w:rsidR="008B4269" w:rsidRPr="008B4269" w:rsidRDefault="008B4269">
            <w:pPr>
              <w:shd w:val="clear" w:color="auto" w:fill="FFFFFF"/>
              <w:tabs>
                <w:tab w:val="left" w:pos="1418"/>
              </w:tabs>
              <w:rPr>
                <w:sz w:val="20"/>
                <w:szCs w:val="20"/>
                <w:lang w:eastAsia="en-US"/>
              </w:rPr>
            </w:pPr>
            <w:r w:rsidRPr="008B4269">
              <w:rPr>
                <w:sz w:val="20"/>
                <w:szCs w:val="20"/>
                <w:lang w:eastAsia="en-US"/>
              </w:rPr>
              <w:t> </w:t>
            </w:r>
            <w:r w:rsidRPr="008B4269">
              <w:rPr>
                <w:bCs/>
                <w:sz w:val="20"/>
                <w:szCs w:val="20"/>
                <w:lang w:eastAsia="en-US"/>
              </w:rPr>
              <w:t>2.</w:t>
            </w:r>
            <w:r w:rsidRPr="008B4269">
              <w:rPr>
                <w:bCs/>
                <w:sz w:val="20"/>
                <w:szCs w:val="20"/>
                <w:lang w:eastAsia="en-US"/>
              </w:rPr>
              <w:tab/>
              <w:t xml:space="preserve">As bolsas eventualmente remanescentes deverão ser concedidas a estudantes que atendam a todos os requisitos socioeconômicos estabelecidos pelo Prouni, salvo terem se submetido ao Exame Nacional do Ensino Médio – Enem referente ao ano de 2012, aplicando-se, no que couber, o disposto nos </w:t>
            </w:r>
            <w:proofErr w:type="spellStart"/>
            <w:r w:rsidRPr="008B4269">
              <w:rPr>
                <w:bCs/>
                <w:sz w:val="20"/>
                <w:szCs w:val="20"/>
                <w:lang w:eastAsia="en-US"/>
              </w:rPr>
              <w:t>arts</w:t>
            </w:r>
            <w:proofErr w:type="spellEnd"/>
            <w:r w:rsidRPr="008B4269">
              <w:rPr>
                <w:bCs/>
                <w:sz w:val="20"/>
                <w:szCs w:val="20"/>
                <w:lang w:eastAsia="en-US"/>
              </w:rPr>
              <w:t>. 11, 17, 18, 19, 20 e 29 da Portaria Normativa MEC nº 27, de 28 de dezembro de 2012, norma que regulamentou o processo seletivo regular do Prouni referente ao primeiro semestre de 2013.</w:t>
            </w:r>
          </w:p>
          <w:p w:rsidR="008B4269" w:rsidRPr="008B4269" w:rsidRDefault="008B4269">
            <w:pPr>
              <w:shd w:val="clear" w:color="auto" w:fill="FFFFFF"/>
              <w:tabs>
                <w:tab w:val="left" w:pos="1418"/>
              </w:tabs>
              <w:rPr>
                <w:sz w:val="20"/>
                <w:szCs w:val="20"/>
                <w:lang w:eastAsia="en-US"/>
              </w:rPr>
            </w:pPr>
            <w:r w:rsidRPr="008B4269">
              <w:rPr>
                <w:sz w:val="20"/>
                <w:szCs w:val="20"/>
                <w:lang w:eastAsia="en-US"/>
              </w:rPr>
              <w:t> </w:t>
            </w:r>
            <w:r w:rsidRPr="008B4269">
              <w:rPr>
                <w:bCs/>
                <w:sz w:val="20"/>
                <w:szCs w:val="20"/>
                <w:lang w:eastAsia="en-US"/>
              </w:rPr>
              <w:t>3.</w:t>
            </w:r>
            <w:r w:rsidRPr="008B4269">
              <w:rPr>
                <w:bCs/>
                <w:sz w:val="20"/>
                <w:szCs w:val="20"/>
                <w:lang w:eastAsia="en-US"/>
              </w:rPr>
              <w:tab/>
              <w:t xml:space="preserve">A inclusão dos estudantes selecionados para as bolsas remanescentes deverá ser feita no Sistema Informatizado do Prouni – </w:t>
            </w:r>
            <w:proofErr w:type="spellStart"/>
            <w:r w:rsidRPr="008B4269">
              <w:rPr>
                <w:bCs/>
                <w:sz w:val="20"/>
                <w:szCs w:val="20"/>
                <w:lang w:eastAsia="en-US"/>
              </w:rPr>
              <w:t>Sisprouni</w:t>
            </w:r>
            <w:proofErr w:type="spellEnd"/>
            <w:r w:rsidRPr="008B4269">
              <w:rPr>
                <w:bCs/>
                <w:sz w:val="20"/>
                <w:szCs w:val="20"/>
                <w:lang w:eastAsia="en-US"/>
              </w:rPr>
              <w:t xml:space="preserve">, no período de 20 de março de 2013 </w:t>
            </w:r>
            <w:r w:rsidRPr="008B4269">
              <w:rPr>
                <w:b/>
                <w:sz w:val="20"/>
                <w:szCs w:val="20"/>
                <w:lang w:eastAsia="en-US"/>
              </w:rPr>
              <w:t xml:space="preserve">até às 23 horas e 59 minutos do dia </w:t>
            </w:r>
            <w:r w:rsidRPr="008B4269">
              <w:rPr>
                <w:b/>
                <w:bCs/>
                <w:sz w:val="20"/>
                <w:szCs w:val="20"/>
                <w:lang w:eastAsia="en-US"/>
              </w:rPr>
              <w:t>05 de abril</w:t>
            </w:r>
            <w:r w:rsidRPr="008B4269">
              <w:rPr>
                <w:b/>
                <w:sz w:val="20"/>
                <w:szCs w:val="20"/>
                <w:lang w:eastAsia="en-US"/>
              </w:rPr>
              <w:t xml:space="preserve"> de 2013 </w:t>
            </w:r>
            <w:r w:rsidRPr="008B4269">
              <w:rPr>
                <w:bCs/>
                <w:sz w:val="20"/>
                <w:szCs w:val="20"/>
                <w:lang w:eastAsia="en-US"/>
              </w:rPr>
              <w:t xml:space="preserve">(horário oficial de Brasília-DF). Estes procedimentos devem ser realizados em módulo próprio, disponível no </w:t>
            </w:r>
            <w:proofErr w:type="gramStart"/>
            <w:r w:rsidRPr="008B4269">
              <w:rPr>
                <w:bCs/>
                <w:sz w:val="20"/>
                <w:szCs w:val="20"/>
                <w:lang w:eastAsia="en-US"/>
              </w:rPr>
              <w:t>menu</w:t>
            </w:r>
            <w:proofErr w:type="gramEnd"/>
            <w:r w:rsidRPr="008B4269">
              <w:rPr>
                <w:bCs/>
                <w:sz w:val="20"/>
                <w:szCs w:val="20"/>
                <w:lang w:eastAsia="en-US"/>
              </w:rPr>
              <w:t xml:space="preserve"> “Manutenção de Bolsas” do </w:t>
            </w:r>
            <w:proofErr w:type="spellStart"/>
            <w:r w:rsidRPr="008B4269">
              <w:rPr>
                <w:bCs/>
                <w:sz w:val="20"/>
                <w:szCs w:val="20"/>
                <w:lang w:eastAsia="en-US"/>
              </w:rPr>
              <w:t>Sisprouni</w:t>
            </w:r>
            <w:proofErr w:type="spellEnd"/>
            <w:r w:rsidRPr="008B4269">
              <w:rPr>
                <w:bCs/>
                <w:sz w:val="20"/>
                <w:szCs w:val="20"/>
                <w:lang w:eastAsia="en-US"/>
              </w:rPr>
              <w:t>.</w:t>
            </w:r>
          </w:p>
          <w:p w:rsidR="008B4269" w:rsidRPr="008B4269" w:rsidRDefault="008B4269" w:rsidP="008B4269">
            <w:pPr>
              <w:shd w:val="clear" w:color="auto" w:fill="FFFFFF"/>
              <w:tabs>
                <w:tab w:val="left" w:pos="1418"/>
              </w:tabs>
              <w:rPr>
                <w:bCs/>
                <w:sz w:val="20"/>
                <w:szCs w:val="20"/>
                <w:lang w:eastAsia="en-US"/>
              </w:rPr>
            </w:pPr>
            <w:r w:rsidRPr="008B4269">
              <w:rPr>
                <w:sz w:val="20"/>
                <w:szCs w:val="20"/>
                <w:lang w:eastAsia="en-US"/>
              </w:rPr>
              <w:t> </w:t>
            </w:r>
            <w:r w:rsidRPr="008B4269">
              <w:rPr>
                <w:bCs/>
                <w:sz w:val="20"/>
                <w:szCs w:val="20"/>
                <w:lang w:eastAsia="en-US"/>
              </w:rPr>
              <w:t>4.</w:t>
            </w:r>
            <w:r w:rsidRPr="008B4269">
              <w:rPr>
                <w:bCs/>
                <w:sz w:val="20"/>
                <w:szCs w:val="20"/>
                <w:lang w:eastAsia="en-US"/>
              </w:rPr>
              <w:tab/>
              <w:t>A inserção dos novos bolsistas compreende o cadastramento das mesmas informações requisitadas nas fases de inscrição e comprovação de informações do processo seletivo regular, com a subsequente emissão e assinatura digital do Termo de Concessão de Bolsa. Desse modo, os estudantes selecionados que não tiverem esse documento emitido e assinado digitalmente até o dia 05 de abril de 2013 não serão considerados bolsistas do Prouni.</w:t>
            </w:r>
          </w:p>
          <w:p w:rsidR="008B4269" w:rsidRPr="008B4269" w:rsidRDefault="008B4269">
            <w:pPr>
              <w:shd w:val="clear" w:color="auto" w:fill="FFFFFF"/>
              <w:tabs>
                <w:tab w:val="left" w:pos="1418"/>
              </w:tabs>
              <w:rPr>
                <w:sz w:val="20"/>
                <w:szCs w:val="20"/>
                <w:lang w:eastAsia="en-US"/>
              </w:rPr>
            </w:pPr>
            <w:r w:rsidRPr="008B4269">
              <w:rPr>
                <w:sz w:val="20"/>
                <w:szCs w:val="20"/>
                <w:lang w:eastAsia="en-US"/>
              </w:rPr>
              <w:t> </w:t>
            </w:r>
            <w:r w:rsidRPr="008B4269">
              <w:rPr>
                <w:bCs/>
                <w:sz w:val="20"/>
                <w:szCs w:val="20"/>
                <w:lang w:eastAsia="en-US"/>
              </w:rPr>
              <w:t>5.</w:t>
            </w:r>
            <w:r w:rsidRPr="008B4269">
              <w:rPr>
                <w:bCs/>
                <w:sz w:val="20"/>
                <w:szCs w:val="20"/>
                <w:lang w:eastAsia="en-US"/>
              </w:rPr>
              <w:tab/>
              <w:t xml:space="preserve">A relação de bolsas remanescentes do processo seletivo referente ao primeiro semestre de 2013 pode ser pesquisada por meio do item </w:t>
            </w:r>
            <w:r w:rsidRPr="008B4269">
              <w:rPr>
                <w:b/>
                <w:bCs/>
                <w:sz w:val="20"/>
                <w:szCs w:val="20"/>
                <w:lang w:eastAsia="en-US"/>
              </w:rPr>
              <w:t>“</w:t>
            </w:r>
            <w:r w:rsidRPr="008B4269">
              <w:rPr>
                <w:bCs/>
                <w:sz w:val="20"/>
                <w:szCs w:val="20"/>
                <w:lang w:eastAsia="en-US"/>
              </w:rPr>
              <w:t xml:space="preserve">Inclusão de Bolsas Remanescentes”, vinculado ao </w:t>
            </w:r>
            <w:proofErr w:type="gramStart"/>
            <w:r w:rsidRPr="008B4269">
              <w:rPr>
                <w:bCs/>
                <w:sz w:val="20"/>
                <w:szCs w:val="20"/>
                <w:lang w:eastAsia="en-US"/>
              </w:rPr>
              <w:t>menu</w:t>
            </w:r>
            <w:proofErr w:type="gramEnd"/>
            <w:r w:rsidRPr="008B4269">
              <w:rPr>
                <w:bCs/>
                <w:sz w:val="20"/>
                <w:szCs w:val="20"/>
                <w:lang w:eastAsia="en-US"/>
              </w:rPr>
              <w:t xml:space="preserve"> “Manutenção de Bolsas” do </w:t>
            </w:r>
            <w:proofErr w:type="spellStart"/>
            <w:r w:rsidRPr="008B4269">
              <w:rPr>
                <w:bCs/>
                <w:sz w:val="20"/>
                <w:szCs w:val="20"/>
                <w:lang w:eastAsia="en-US"/>
              </w:rPr>
              <w:t>Sisprouni</w:t>
            </w:r>
            <w:proofErr w:type="spellEnd"/>
            <w:r w:rsidRPr="008B4269">
              <w:rPr>
                <w:bCs/>
                <w:sz w:val="20"/>
                <w:szCs w:val="20"/>
                <w:lang w:eastAsia="en-US"/>
              </w:rPr>
              <w:t>. No quadro gerado, o número de bolsas é detalhado por curso e turno, conforme a instituição de ensino e o local</w:t>
            </w:r>
            <w:r w:rsidRPr="008B4269">
              <w:rPr>
                <w:bCs/>
                <w:iCs/>
                <w:sz w:val="20"/>
                <w:szCs w:val="20"/>
                <w:lang w:eastAsia="en-US"/>
              </w:rPr>
              <w:t xml:space="preserve"> de oferta</w:t>
            </w:r>
            <w:r w:rsidRPr="008B4269">
              <w:rPr>
                <w:bCs/>
                <w:sz w:val="20"/>
                <w:szCs w:val="20"/>
                <w:lang w:eastAsia="en-US"/>
              </w:rPr>
              <w:t xml:space="preserve"> selecionado.</w:t>
            </w:r>
          </w:p>
          <w:p w:rsidR="008B4269" w:rsidRPr="008B4269" w:rsidRDefault="008B4269">
            <w:pPr>
              <w:shd w:val="clear" w:color="auto" w:fill="FFFFFF"/>
              <w:tabs>
                <w:tab w:val="left" w:pos="1418"/>
              </w:tabs>
              <w:rPr>
                <w:sz w:val="20"/>
                <w:szCs w:val="20"/>
                <w:lang w:eastAsia="en-US"/>
              </w:rPr>
            </w:pPr>
            <w:r w:rsidRPr="008B4269">
              <w:rPr>
                <w:sz w:val="20"/>
                <w:szCs w:val="20"/>
                <w:lang w:eastAsia="en-US"/>
              </w:rPr>
              <w:t> </w:t>
            </w:r>
            <w:r w:rsidRPr="008B4269">
              <w:rPr>
                <w:bCs/>
                <w:sz w:val="20"/>
                <w:szCs w:val="20"/>
                <w:lang w:eastAsia="en-US"/>
              </w:rPr>
              <w:t>6.</w:t>
            </w:r>
            <w:r w:rsidRPr="008B4269">
              <w:rPr>
                <w:bCs/>
                <w:sz w:val="20"/>
                <w:szCs w:val="20"/>
                <w:lang w:eastAsia="en-US"/>
              </w:rPr>
              <w:tab/>
              <w:t xml:space="preserve">Cumpre informar que a instituição que optar por conceder as bolsas remanescentes deverá fazê-lo na totalidade de seus cursos e turnos, bem como em todos os </w:t>
            </w:r>
            <w:r w:rsidRPr="008B4269">
              <w:rPr>
                <w:bCs/>
                <w:iCs/>
                <w:sz w:val="20"/>
                <w:szCs w:val="20"/>
                <w:lang w:eastAsia="en-US"/>
              </w:rPr>
              <w:t>locais de oferta.</w:t>
            </w:r>
          </w:p>
          <w:p w:rsidR="008B4269" w:rsidRPr="008B4269" w:rsidRDefault="008B4269">
            <w:pPr>
              <w:shd w:val="clear" w:color="auto" w:fill="FFFFFF"/>
              <w:tabs>
                <w:tab w:val="left" w:pos="1418"/>
              </w:tabs>
              <w:rPr>
                <w:sz w:val="20"/>
                <w:szCs w:val="20"/>
                <w:lang w:eastAsia="en-US"/>
              </w:rPr>
            </w:pPr>
            <w:r w:rsidRPr="008B4269">
              <w:rPr>
                <w:sz w:val="20"/>
                <w:szCs w:val="20"/>
                <w:lang w:eastAsia="en-US"/>
              </w:rPr>
              <w:t> </w:t>
            </w:r>
            <w:r w:rsidRPr="008B4269">
              <w:rPr>
                <w:bCs/>
                <w:iCs/>
                <w:sz w:val="20"/>
                <w:szCs w:val="20"/>
                <w:lang w:eastAsia="en-US"/>
              </w:rPr>
              <w:t>7.</w:t>
            </w:r>
            <w:r w:rsidRPr="008B4269">
              <w:rPr>
                <w:bCs/>
                <w:iCs/>
                <w:sz w:val="20"/>
                <w:szCs w:val="20"/>
                <w:lang w:eastAsia="en-US"/>
              </w:rPr>
              <w:tab/>
              <w:t>Consoante o disposto no artigo 5º da Portaria Normativa nº 04/2013, abaixo transcrito, as IES deverão divulgar o processo de bolsas remanescentes ao seu corpo discente:</w:t>
            </w:r>
          </w:p>
          <w:p w:rsidR="008B4269" w:rsidRPr="008B4269" w:rsidRDefault="008B4269" w:rsidP="008B4269">
            <w:pPr>
              <w:shd w:val="clear" w:color="auto" w:fill="FFFFFF"/>
              <w:tabs>
                <w:tab w:val="left" w:pos="1418"/>
              </w:tabs>
              <w:rPr>
                <w:bCs/>
                <w:i/>
                <w:sz w:val="20"/>
                <w:szCs w:val="20"/>
                <w:lang w:eastAsia="en-US"/>
              </w:rPr>
            </w:pPr>
            <w:r w:rsidRPr="008B4269">
              <w:rPr>
                <w:sz w:val="20"/>
                <w:szCs w:val="20"/>
                <w:lang w:eastAsia="en-US"/>
              </w:rPr>
              <w:t> </w:t>
            </w:r>
            <w:r>
              <w:rPr>
                <w:sz w:val="20"/>
                <w:szCs w:val="20"/>
                <w:lang w:eastAsia="en-US"/>
              </w:rPr>
              <w:t xml:space="preserve">                           </w:t>
            </w:r>
            <w:r w:rsidRPr="008B4269">
              <w:rPr>
                <w:bCs/>
                <w:i/>
                <w:sz w:val="20"/>
                <w:szCs w:val="20"/>
                <w:lang w:eastAsia="en-US"/>
              </w:rPr>
              <w:t>Art. 5º As IES deverão divulgar a todo o corpo discente, inclusive mediante afixação em locais de grande circulação de estudantes e em seus sítios na Internet:</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I - o inteiro teor desta Portaria;</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II - o número de bolsas disponíveis em cada curso e turno de cada local de oferta de cursos;</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III - a lista dos estudantes inscritos para as bolsas disponíveis em cada curso e turno de cada local de oferta de cursos e, posteriormente, dos estudantes aprovados e reprovados.</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 xml:space="preserve">Parágrafo único. A IES deverá emitir aos estudantes reprovados, documento em que conste a razão de sua </w:t>
            </w:r>
            <w:proofErr w:type="gramStart"/>
            <w:r w:rsidRPr="008B4269">
              <w:rPr>
                <w:bCs/>
                <w:i/>
                <w:sz w:val="20"/>
                <w:szCs w:val="20"/>
                <w:lang w:eastAsia="en-US"/>
              </w:rPr>
              <w:t>reprovação</w:t>
            </w:r>
            <w:proofErr w:type="gramEnd"/>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Art. 5º As IES deverão divulgar a todo o corpo discente, inclusive mediante afixação em locais de grande circulação de estudantes e em seus sítios na Internet:</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I - o inteiro teor desta Portaria;</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II - o número de bolsas disponíveis em cada curso e turno de cada local de oferta de cursos;</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III - a lista dos estudantes inscritos para as bolsas disponíveis em cada curso e turno de cada local de oferta de cursos e, posteriormente, dos estudantes aprovados e reprovados.</w:t>
            </w:r>
          </w:p>
          <w:p w:rsidR="008B4269" w:rsidRPr="008B4269" w:rsidRDefault="008B4269">
            <w:pPr>
              <w:shd w:val="clear" w:color="auto" w:fill="FFFFFF"/>
              <w:ind w:left="993"/>
              <w:jc w:val="both"/>
              <w:rPr>
                <w:bCs/>
                <w:i/>
                <w:sz w:val="20"/>
                <w:szCs w:val="20"/>
                <w:lang w:eastAsia="en-US"/>
              </w:rPr>
            </w:pPr>
            <w:r w:rsidRPr="008B4269">
              <w:rPr>
                <w:bCs/>
                <w:i/>
                <w:sz w:val="20"/>
                <w:szCs w:val="20"/>
                <w:lang w:eastAsia="en-US"/>
              </w:rPr>
              <w:t>Parágrafo único. A IES deverá emitir aos estudantes reprovados, documento em que conste a razão de sua reprovação.</w:t>
            </w:r>
          </w:p>
          <w:p w:rsidR="008B4269" w:rsidRPr="008B4269" w:rsidRDefault="008B4269">
            <w:pPr>
              <w:shd w:val="clear" w:color="auto" w:fill="FFFFFF"/>
              <w:tabs>
                <w:tab w:val="left" w:pos="1418"/>
              </w:tabs>
              <w:rPr>
                <w:sz w:val="20"/>
                <w:szCs w:val="20"/>
                <w:lang w:eastAsia="en-US"/>
              </w:rPr>
            </w:pPr>
            <w:r w:rsidRPr="008B4269">
              <w:rPr>
                <w:sz w:val="20"/>
                <w:szCs w:val="20"/>
                <w:lang w:eastAsia="en-US"/>
              </w:rPr>
              <w:t> </w:t>
            </w:r>
            <w:r w:rsidRPr="008B4269">
              <w:rPr>
                <w:bCs/>
                <w:sz w:val="20"/>
                <w:szCs w:val="20"/>
                <w:lang w:eastAsia="en-US"/>
              </w:rPr>
              <w:t>8.</w:t>
            </w:r>
            <w:r w:rsidRPr="008B4269">
              <w:rPr>
                <w:bCs/>
                <w:sz w:val="20"/>
                <w:szCs w:val="20"/>
                <w:lang w:eastAsia="en-US"/>
              </w:rPr>
              <w:tab/>
            </w:r>
            <w:proofErr w:type="gramStart"/>
            <w:r w:rsidRPr="008B4269">
              <w:rPr>
                <w:bCs/>
                <w:sz w:val="20"/>
                <w:szCs w:val="20"/>
                <w:lang w:eastAsia="en-US"/>
              </w:rPr>
              <w:t>Outrossim</w:t>
            </w:r>
            <w:proofErr w:type="gramEnd"/>
            <w:r w:rsidRPr="008B4269">
              <w:rPr>
                <w:bCs/>
                <w:sz w:val="20"/>
                <w:szCs w:val="20"/>
                <w:lang w:eastAsia="en-US"/>
              </w:rPr>
              <w:t>, observamos, ainda, que as bolsas remanescentes poderão também ser concedidas a estudantes já matriculados cujas bolsas não foram regularmente concedidas no decorrer do processo seletivo referente ao primeiro semestre de 2013 em função de impedimentos de natureza operacional (candidatos que foram indevidamente reprovados), independentemente da obrigatoriedade de oferta da totalidade das bolsas remanescentes referida em item anterior.</w:t>
            </w:r>
          </w:p>
          <w:p w:rsidR="008B4269" w:rsidRPr="008B4269" w:rsidRDefault="008B4269" w:rsidP="008B4269">
            <w:pPr>
              <w:shd w:val="clear" w:color="auto" w:fill="FFFFFF"/>
              <w:tabs>
                <w:tab w:val="left" w:pos="1418"/>
              </w:tabs>
              <w:rPr>
                <w:bCs/>
                <w:sz w:val="20"/>
                <w:szCs w:val="20"/>
                <w:lang w:eastAsia="en-US"/>
              </w:rPr>
            </w:pPr>
            <w:r w:rsidRPr="008B4269">
              <w:rPr>
                <w:sz w:val="20"/>
                <w:szCs w:val="20"/>
                <w:lang w:eastAsia="en-US"/>
              </w:rPr>
              <w:t> </w:t>
            </w:r>
            <w:r w:rsidRPr="008B4269">
              <w:rPr>
                <w:bCs/>
                <w:sz w:val="20"/>
                <w:szCs w:val="20"/>
                <w:lang w:eastAsia="en-US"/>
              </w:rPr>
              <w:t>9.</w:t>
            </w:r>
            <w:r w:rsidRPr="008B4269">
              <w:rPr>
                <w:bCs/>
                <w:sz w:val="20"/>
                <w:szCs w:val="20"/>
                <w:lang w:eastAsia="en-US"/>
              </w:rPr>
              <w:tab/>
              <w:t xml:space="preserve">Ressalta-se, por fim, que as bolsas concedidas nesse processo não terão efeitos retroativos, vigendo a partir da data de emissão do correspondente Termo de Concessão de Bolsa, exceto nos casos referidos no item </w:t>
            </w:r>
            <w:proofErr w:type="gramStart"/>
            <w:r w:rsidRPr="008B4269">
              <w:rPr>
                <w:bCs/>
                <w:sz w:val="20"/>
                <w:szCs w:val="20"/>
                <w:lang w:eastAsia="en-US"/>
              </w:rPr>
              <w:t>8</w:t>
            </w:r>
            <w:proofErr w:type="gramEnd"/>
            <w:r w:rsidRPr="008B4269">
              <w:rPr>
                <w:bCs/>
                <w:sz w:val="20"/>
                <w:szCs w:val="20"/>
                <w:lang w:eastAsia="en-US"/>
              </w:rPr>
              <w:t xml:space="preserve"> deste Oficio Circular.</w:t>
            </w:r>
          </w:p>
          <w:p w:rsidR="008B4269" w:rsidRPr="008B4269" w:rsidRDefault="008B4269">
            <w:pPr>
              <w:pBdr>
                <w:top w:val="inset" w:sz="24" w:space="2" w:color="FFFFFF"/>
                <w:left w:val="inset" w:sz="24" w:space="3" w:color="FFFFFF"/>
                <w:bottom w:val="inset" w:sz="24" w:space="3" w:color="FFFFFF"/>
                <w:right w:val="inset" w:sz="24" w:space="3" w:color="FFFFFF"/>
              </w:pBdr>
              <w:shd w:val="clear" w:color="auto" w:fill="FFFFFF"/>
              <w:tabs>
                <w:tab w:val="num" w:pos="1418"/>
              </w:tabs>
              <w:jc w:val="both"/>
              <w:outlineLvl w:val="1"/>
              <w:rPr>
                <w:bCs/>
                <w:sz w:val="20"/>
                <w:szCs w:val="20"/>
                <w:lang w:eastAsia="en-US"/>
              </w:rPr>
            </w:pPr>
            <w:r w:rsidRPr="008B4269">
              <w:rPr>
                <w:bCs/>
                <w:sz w:val="20"/>
                <w:szCs w:val="20"/>
                <w:lang w:eastAsia="en-US"/>
              </w:rPr>
              <w:t>10.</w:t>
            </w:r>
            <w:r w:rsidRPr="008B4269">
              <w:rPr>
                <w:bCs/>
                <w:sz w:val="20"/>
                <w:szCs w:val="20"/>
                <w:lang w:eastAsia="en-US"/>
              </w:rPr>
              <w:tab/>
              <w:t xml:space="preserve">Cumprimentando-o cordialmente, colocamo-nos à disposição, por meio do e-mail </w:t>
            </w:r>
            <w:hyperlink r:id="rId7" w:history="1">
              <w:r w:rsidRPr="008B4269">
                <w:rPr>
                  <w:rStyle w:val="Hyperlink"/>
                  <w:b/>
                  <w:bCs/>
                  <w:sz w:val="20"/>
                  <w:szCs w:val="20"/>
                  <w:lang w:eastAsia="en-US"/>
                </w:rPr>
                <w:t>iesprouni@mec.gov.br</w:t>
              </w:r>
              <w:proofErr w:type="gramStart"/>
            </w:hyperlink>
            <w:r w:rsidRPr="008B4269">
              <w:rPr>
                <w:bCs/>
                <w:sz w:val="20"/>
                <w:szCs w:val="20"/>
                <w:lang w:eastAsia="en-US"/>
              </w:rPr>
              <w:t>, para os esclarecimentos que se fizerem necessários</w:t>
            </w:r>
            <w:proofErr w:type="gramEnd"/>
            <w:r w:rsidRPr="008B4269">
              <w:rPr>
                <w:bCs/>
                <w:sz w:val="20"/>
                <w:szCs w:val="20"/>
                <w:lang w:eastAsia="en-US"/>
              </w:rPr>
              <w:t>.</w:t>
            </w:r>
          </w:p>
          <w:p w:rsidR="008B4269" w:rsidRDefault="008B4269" w:rsidP="008B4269">
            <w:pPr>
              <w:shd w:val="clear" w:color="auto" w:fill="FFFFFF"/>
              <w:tabs>
                <w:tab w:val="left" w:pos="1418"/>
              </w:tabs>
              <w:rPr>
                <w:bCs/>
                <w:sz w:val="20"/>
                <w:szCs w:val="20"/>
                <w:lang w:eastAsia="en-US"/>
              </w:rPr>
            </w:pPr>
            <w:r w:rsidRPr="008B4269">
              <w:rPr>
                <w:bCs/>
                <w:sz w:val="20"/>
                <w:szCs w:val="20"/>
                <w:lang w:eastAsia="en-US"/>
              </w:rPr>
              <w:t>  Atenciosamente,</w:t>
            </w:r>
          </w:p>
          <w:p w:rsidR="008B4269" w:rsidRPr="008B4269" w:rsidRDefault="008B4269" w:rsidP="008B4269">
            <w:pPr>
              <w:shd w:val="clear" w:color="auto" w:fill="FFFFFF"/>
              <w:tabs>
                <w:tab w:val="left" w:pos="1418"/>
              </w:tabs>
              <w:jc w:val="center"/>
              <w:rPr>
                <w:bCs/>
                <w:sz w:val="16"/>
                <w:szCs w:val="16"/>
                <w:lang w:eastAsia="en-US"/>
              </w:rPr>
            </w:pPr>
            <w:r w:rsidRPr="008B4269">
              <w:rPr>
                <w:b/>
                <w:sz w:val="16"/>
                <w:szCs w:val="16"/>
                <w:lang w:eastAsia="en-US"/>
              </w:rPr>
              <w:t>Lilian Carvalho do Nascimento</w:t>
            </w:r>
          </w:p>
          <w:p w:rsidR="008B4269" w:rsidRPr="008B4269" w:rsidRDefault="008B4269" w:rsidP="008B4269">
            <w:pPr>
              <w:pBdr>
                <w:top w:val="inset" w:sz="24" w:space="3" w:color="FFFFFF"/>
                <w:left w:val="inset" w:sz="24" w:space="3" w:color="FFFFFF"/>
                <w:bottom w:val="inset" w:sz="24" w:space="3" w:color="FFFFFF"/>
                <w:right w:val="inset" w:sz="24" w:space="3" w:color="FFFFFF"/>
              </w:pBdr>
              <w:shd w:val="clear" w:color="auto" w:fill="FFFFFF"/>
              <w:jc w:val="center"/>
              <w:outlineLvl w:val="1"/>
              <w:rPr>
                <w:b/>
                <w:bCs/>
                <w:sz w:val="16"/>
                <w:szCs w:val="16"/>
                <w:lang w:eastAsia="en-US"/>
              </w:rPr>
            </w:pPr>
            <w:r w:rsidRPr="008B4269">
              <w:rPr>
                <w:rStyle w:val="Forte"/>
                <w:sz w:val="16"/>
                <w:szCs w:val="16"/>
                <w:lang w:eastAsia="en-US"/>
              </w:rPr>
              <w:t>Coordenadora-Geral de Projetos Especiais para Graduação</w:t>
            </w:r>
          </w:p>
        </w:tc>
      </w:tr>
      <w:tr w:rsidR="008B4269" w:rsidRPr="008B4269" w:rsidTr="008B4269">
        <w:trPr>
          <w:tblCellSpacing w:w="0" w:type="dxa"/>
        </w:trPr>
        <w:tc>
          <w:tcPr>
            <w:tcW w:w="5000" w:type="pct"/>
            <w:vAlign w:val="center"/>
          </w:tcPr>
          <w:p w:rsidR="008B4269" w:rsidRPr="008B4269" w:rsidRDefault="008B4269">
            <w:pPr>
              <w:shd w:val="clear" w:color="auto" w:fill="FFFFFF"/>
              <w:tabs>
                <w:tab w:val="left" w:pos="1418"/>
              </w:tabs>
              <w:rPr>
                <w:bCs/>
                <w:sz w:val="20"/>
                <w:szCs w:val="20"/>
                <w:lang w:eastAsia="en-US"/>
              </w:rPr>
            </w:pPr>
          </w:p>
        </w:tc>
      </w:tr>
    </w:tbl>
    <w:p w:rsidR="00682443" w:rsidRPr="008B4269" w:rsidRDefault="00682443">
      <w:pPr>
        <w:rPr>
          <w:sz w:val="20"/>
          <w:szCs w:val="20"/>
        </w:rPr>
      </w:pPr>
    </w:p>
    <w:sectPr w:rsidR="00682443" w:rsidRPr="008B4269" w:rsidSect="008B4269">
      <w:pgSz w:w="11906" w:h="16838" w:code="9"/>
      <w:pgMar w:top="567"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69"/>
    <w:rsid w:val="00682443"/>
    <w:rsid w:val="008B4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69"/>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B4269"/>
    <w:rPr>
      <w:color w:val="0000FF" w:themeColor="hyperlink"/>
      <w:u w:val="single"/>
    </w:rPr>
  </w:style>
  <w:style w:type="paragraph" w:styleId="NormalWeb">
    <w:name w:val="Normal (Web)"/>
    <w:basedOn w:val="Normal"/>
    <w:uiPriority w:val="99"/>
    <w:unhideWhenUsed/>
    <w:rsid w:val="008B4269"/>
    <w:pPr>
      <w:spacing w:before="100" w:beforeAutospacing="1" w:after="100" w:afterAutospacing="1"/>
    </w:pPr>
  </w:style>
  <w:style w:type="character" w:styleId="Forte">
    <w:name w:val="Strong"/>
    <w:basedOn w:val="Fontepargpadro"/>
    <w:uiPriority w:val="22"/>
    <w:qFormat/>
    <w:rsid w:val="008B4269"/>
    <w:rPr>
      <w:b/>
      <w:bCs/>
    </w:rPr>
  </w:style>
  <w:style w:type="paragraph" w:styleId="Textodebalo">
    <w:name w:val="Balloon Text"/>
    <w:basedOn w:val="Normal"/>
    <w:link w:val="TextodebaloChar"/>
    <w:uiPriority w:val="99"/>
    <w:semiHidden/>
    <w:unhideWhenUsed/>
    <w:rsid w:val="008B4269"/>
    <w:rPr>
      <w:rFonts w:ascii="Tahoma" w:hAnsi="Tahoma" w:cs="Tahoma"/>
      <w:sz w:val="16"/>
      <w:szCs w:val="16"/>
    </w:rPr>
  </w:style>
  <w:style w:type="character" w:customStyle="1" w:styleId="TextodebaloChar">
    <w:name w:val="Texto de balão Char"/>
    <w:basedOn w:val="Fontepargpadro"/>
    <w:link w:val="Textodebalo"/>
    <w:uiPriority w:val="99"/>
    <w:semiHidden/>
    <w:rsid w:val="008B4269"/>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69"/>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B4269"/>
    <w:rPr>
      <w:color w:val="0000FF" w:themeColor="hyperlink"/>
      <w:u w:val="single"/>
    </w:rPr>
  </w:style>
  <w:style w:type="paragraph" w:styleId="NormalWeb">
    <w:name w:val="Normal (Web)"/>
    <w:basedOn w:val="Normal"/>
    <w:uiPriority w:val="99"/>
    <w:unhideWhenUsed/>
    <w:rsid w:val="008B4269"/>
    <w:pPr>
      <w:spacing w:before="100" w:beforeAutospacing="1" w:after="100" w:afterAutospacing="1"/>
    </w:pPr>
  </w:style>
  <w:style w:type="character" w:styleId="Forte">
    <w:name w:val="Strong"/>
    <w:basedOn w:val="Fontepargpadro"/>
    <w:uiPriority w:val="22"/>
    <w:qFormat/>
    <w:rsid w:val="008B4269"/>
    <w:rPr>
      <w:b/>
      <w:bCs/>
    </w:rPr>
  </w:style>
  <w:style w:type="paragraph" w:styleId="Textodebalo">
    <w:name w:val="Balloon Text"/>
    <w:basedOn w:val="Normal"/>
    <w:link w:val="TextodebaloChar"/>
    <w:uiPriority w:val="99"/>
    <w:semiHidden/>
    <w:unhideWhenUsed/>
    <w:rsid w:val="008B4269"/>
    <w:rPr>
      <w:rFonts w:ascii="Tahoma" w:hAnsi="Tahoma" w:cs="Tahoma"/>
      <w:sz w:val="16"/>
      <w:szCs w:val="16"/>
    </w:rPr>
  </w:style>
  <w:style w:type="character" w:customStyle="1" w:styleId="TextodebaloChar">
    <w:name w:val="Texto de balão Char"/>
    <w:basedOn w:val="Fontepargpadro"/>
    <w:link w:val="Textodebalo"/>
    <w:uiPriority w:val="99"/>
    <w:semiHidden/>
    <w:rsid w:val="008B4269"/>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8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sprouni@me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esprouni@mec.gov.br"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Goulart</dc:creator>
  <cp:lastModifiedBy>Eduardo Goulart</cp:lastModifiedBy>
  <cp:revision>1</cp:revision>
  <cp:lastPrinted>2013-03-20T13:27:00Z</cp:lastPrinted>
  <dcterms:created xsi:type="dcterms:W3CDTF">2013-03-20T13:21:00Z</dcterms:created>
  <dcterms:modified xsi:type="dcterms:W3CDTF">2013-03-20T13:28:00Z</dcterms:modified>
</cp:coreProperties>
</file>